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5981" w14:textId="77777777" w:rsidR="006A0EC8" w:rsidRDefault="006A0EC8" w:rsidP="006A0EC8">
      <w:pPr>
        <w:rPr>
          <w:rFonts w:ascii="Times New Roman" w:hAnsi="Times New Roman" w:cs="Times New Roman"/>
          <w:sz w:val="28"/>
          <w:szCs w:val="28"/>
          <w:lang w:eastAsia="zh-TW"/>
        </w:rPr>
      </w:pPr>
    </w:p>
    <w:p w14:paraId="3466EB0A" w14:textId="77777777" w:rsidR="006A0EC8" w:rsidRDefault="006A0EC8" w:rsidP="006A0EC8">
      <w:pPr>
        <w:rPr>
          <w:rFonts w:ascii="Times New Roman" w:hAnsi="Times New Roman" w:cs="Times New Roman"/>
          <w:color w:val="0070C0"/>
          <w:sz w:val="32"/>
          <w:szCs w:val="32"/>
          <w:lang w:eastAsia="zh-TW"/>
        </w:rPr>
      </w:pPr>
    </w:p>
    <w:p w14:paraId="6B53A0F2" w14:textId="77777777" w:rsidR="006A0EC8" w:rsidRDefault="006A0EC8" w:rsidP="006A0EC8">
      <w:pPr>
        <w:rPr>
          <w:rFonts w:ascii="Times New Roman" w:hAnsi="Times New Roman" w:cs="Times New Roman"/>
          <w:color w:val="0070C0"/>
          <w:sz w:val="32"/>
          <w:szCs w:val="32"/>
          <w:lang w:eastAsia="zh-TW"/>
        </w:rPr>
      </w:pPr>
      <w:r>
        <w:rPr>
          <w:rFonts w:ascii="Times New Roman" w:hAnsi="Times New Roman" w:cs="Times New Roman"/>
          <w:b/>
          <w:bCs/>
          <w:color w:val="0070C0"/>
          <w:sz w:val="32"/>
          <w:szCs w:val="32"/>
          <w:lang w:eastAsia="zh-TW"/>
        </w:rPr>
        <w:t>Thoughts on broader appetite for energy stocks</w:t>
      </w:r>
      <w:r>
        <w:rPr>
          <w:rFonts w:ascii="Times New Roman" w:hAnsi="Times New Roman" w:cs="Times New Roman"/>
          <w:color w:val="0070C0"/>
          <w:sz w:val="32"/>
          <w:szCs w:val="32"/>
          <w:lang w:eastAsia="zh-TW"/>
        </w:rPr>
        <w:t xml:space="preserve">. </w:t>
      </w:r>
    </w:p>
    <w:p w14:paraId="02524B3F" w14:textId="77777777" w:rsidR="006A0EC8" w:rsidRDefault="006A0EC8" w:rsidP="006A0EC8">
      <w:pPr>
        <w:rPr>
          <w:rFonts w:ascii="Times New Roman" w:hAnsi="Times New Roman" w:cs="Times New Roman"/>
          <w:sz w:val="28"/>
          <w:szCs w:val="28"/>
          <w:lang w:eastAsia="zh-TW"/>
        </w:rPr>
      </w:pPr>
      <w:r>
        <w:rPr>
          <w:rFonts w:ascii="Times New Roman" w:hAnsi="Times New Roman" w:cs="Times New Roman"/>
          <w:sz w:val="28"/>
          <w:szCs w:val="28"/>
          <w:lang w:eastAsia="zh-TW"/>
        </w:rPr>
        <w:t xml:space="preserve">In his latest post on Energy Musings, Mr. Allen Brooks ponders investor headwinds for energy stocks (but also how this could present an opportunity for investors in the sector as well). </w:t>
      </w:r>
    </w:p>
    <w:p w14:paraId="4F34D810" w14:textId="77777777" w:rsidR="006A0EC8" w:rsidRDefault="006A0EC8" w:rsidP="006A0EC8">
      <w:pPr>
        <w:rPr>
          <w:rFonts w:ascii="Times New Roman" w:hAnsi="Times New Roman" w:cs="Times New Roman"/>
          <w:sz w:val="28"/>
          <w:szCs w:val="28"/>
          <w:lang w:eastAsia="zh-TW"/>
        </w:rPr>
      </w:pPr>
    </w:p>
    <w:p w14:paraId="0AC1FFB6" w14:textId="77777777" w:rsidR="006A0EC8" w:rsidRDefault="006A0EC8" w:rsidP="006A0EC8">
      <w:pPr>
        <w:ind w:left="720"/>
        <w:rPr>
          <w:rFonts w:ascii="Times New Roman" w:hAnsi="Times New Roman" w:cs="Times New Roman"/>
          <w:i/>
          <w:iCs/>
          <w:sz w:val="28"/>
          <w:szCs w:val="28"/>
          <w:lang w:eastAsia="zh-TW"/>
        </w:rPr>
      </w:pPr>
    </w:p>
    <w:p w14:paraId="4F7BA236" w14:textId="77777777" w:rsidR="006A0EC8" w:rsidRDefault="006A0EC8" w:rsidP="006A0EC8">
      <w:pPr>
        <w:ind w:left="720"/>
        <w:rPr>
          <w:rFonts w:ascii="Times New Roman" w:hAnsi="Times New Roman" w:cs="Times New Roman"/>
          <w:i/>
          <w:iCs/>
          <w:sz w:val="28"/>
          <w:szCs w:val="28"/>
          <w:lang w:eastAsia="zh-TW"/>
        </w:rPr>
      </w:pPr>
      <w:r>
        <w:rPr>
          <w:rFonts w:ascii="Times New Roman" w:hAnsi="Times New Roman" w:cs="Times New Roman"/>
          <w:i/>
          <w:iCs/>
          <w:sz w:val="28"/>
          <w:szCs w:val="28"/>
          <w:lang w:eastAsia="zh-TW"/>
        </w:rPr>
        <w:t xml:space="preserve">Will investors ever consider this an investable sector again? With the negative political rhetoric and government policies around the world becoming increasingly anti-fossil fuels, it is unlikely investors will be clamoring for energy stocks in their portfolios any time soon. </w:t>
      </w:r>
      <w:r>
        <w:rPr>
          <w:rFonts w:ascii="Times New Roman" w:hAnsi="Times New Roman" w:cs="Times New Roman"/>
          <w:i/>
          <w:iCs/>
          <w:sz w:val="28"/>
          <w:szCs w:val="28"/>
          <w:u w:val="single"/>
          <w:lang w:eastAsia="zh-TW"/>
        </w:rPr>
        <w:t xml:space="preserve">As a result, market capitalizations will remain small, limiting the number of investable companies </w:t>
      </w:r>
      <w:proofErr w:type="gramStart"/>
      <w:r>
        <w:rPr>
          <w:rFonts w:ascii="Times New Roman" w:hAnsi="Times New Roman" w:cs="Times New Roman"/>
          <w:i/>
          <w:iCs/>
          <w:sz w:val="28"/>
          <w:szCs w:val="28"/>
          <w:u w:val="single"/>
          <w:lang w:eastAsia="zh-TW"/>
        </w:rPr>
        <w:t>for</w:t>
      </w:r>
      <w:proofErr w:type="gramEnd"/>
      <w:r>
        <w:rPr>
          <w:rFonts w:ascii="Times New Roman" w:hAnsi="Times New Roman" w:cs="Times New Roman"/>
          <w:i/>
          <w:iCs/>
          <w:sz w:val="28"/>
          <w:szCs w:val="28"/>
          <w:u w:val="single"/>
          <w:lang w:eastAsia="zh-TW"/>
        </w:rPr>
        <w:t xml:space="preserve"> major investment funds. A lack of market capitalization makes it difficult for portfolio managers to build investment positions without driving prices up substantially, cutting their profit potential. Therefore, they usually limit their buying to a handful of large market capitalization energy companies – mostly the large international oil companies, a few large exploration and development companies, and the three largest oilfield service providers</w:t>
      </w:r>
      <w:r>
        <w:rPr>
          <w:rFonts w:ascii="Times New Roman" w:hAnsi="Times New Roman" w:cs="Times New Roman"/>
          <w:i/>
          <w:iCs/>
          <w:sz w:val="28"/>
          <w:szCs w:val="28"/>
          <w:lang w:eastAsia="zh-TW"/>
        </w:rPr>
        <w:t>.</w:t>
      </w:r>
    </w:p>
    <w:p w14:paraId="550ADB31" w14:textId="77777777" w:rsidR="006A0EC8" w:rsidRDefault="006A0EC8" w:rsidP="006A0EC8">
      <w:pPr>
        <w:rPr>
          <w:rFonts w:ascii="Times New Roman" w:hAnsi="Times New Roman" w:cs="Times New Roman"/>
          <w:sz w:val="28"/>
          <w:szCs w:val="28"/>
          <w:lang w:eastAsia="zh-TW"/>
        </w:rPr>
      </w:pPr>
    </w:p>
    <w:p w14:paraId="1C87BE05" w14:textId="77777777" w:rsidR="006A0EC8" w:rsidRDefault="006A0EC8" w:rsidP="006A0EC8">
      <w:pPr>
        <w:ind w:left="720"/>
        <w:rPr>
          <w:rFonts w:ascii="Times New Roman" w:hAnsi="Times New Roman" w:cs="Times New Roman"/>
          <w:i/>
          <w:iCs/>
          <w:sz w:val="28"/>
          <w:szCs w:val="28"/>
          <w:lang w:eastAsia="zh-TW"/>
        </w:rPr>
      </w:pPr>
      <w:r>
        <w:rPr>
          <w:rFonts w:ascii="Times New Roman" w:hAnsi="Times New Roman" w:cs="Times New Roman"/>
          <w:i/>
          <w:iCs/>
          <w:sz w:val="28"/>
          <w:szCs w:val="28"/>
          <w:u w:val="single"/>
          <w:lang w:eastAsia="zh-TW"/>
        </w:rPr>
        <w:t>Investor interest may grow as the reality that while Energy no longer sports a “growth” label, the fuel is not going away because the energy transition will prove to take longer and be more costly than many predict</w:t>
      </w:r>
      <w:r>
        <w:rPr>
          <w:rFonts w:ascii="Times New Roman" w:hAnsi="Times New Roman" w:cs="Times New Roman"/>
          <w:i/>
          <w:iCs/>
          <w:sz w:val="28"/>
          <w:szCs w:val="28"/>
          <w:lang w:eastAsia="zh-TW"/>
        </w:rPr>
        <w:t xml:space="preserve">. With limited new capital going into the sector, oil and gas output growth will be restricted at a time when economic recoveries are driving demand </w:t>
      </w:r>
      <w:proofErr w:type="gramStart"/>
      <w:r>
        <w:rPr>
          <w:rFonts w:ascii="Times New Roman" w:hAnsi="Times New Roman" w:cs="Times New Roman"/>
          <w:i/>
          <w:iCs/>
          <w:sz w:val="28"/>
          <w:szCs w:val="28"/>
          <w:lang w:eastAsia="zh-TW"/>
        </w:rPr>
        <w:t>higher</w:t>
      </w:r>
      <w:proofErr w:type="gramEnd"/>
      <w:r>
        <w:rPr>
          <w:rFonts w:ascii="Times New Roman" w:hAnsi="Times New Roman" w:cs="Times New Roman"/>
          <w:i/>
          <w:iCs/>
          <w:sz w:val="28"/>
          <w:szCs w:val="28"/>
          <w:lang w:eastAsia="zh-TW"/>
        </w:rPr>
        <w:t xml:space="preserve"> helping to support and even drive oil and gas prices higher. </w:t>
      </w:r>
      <w:r>
        <w:rPr>
          <w:rFonts w:ascii="Times New Roman" w:hAnsi="Times New Roman" w:cs="Times New Roman"/>
          <w:i/>
          <w:iCs/>
          <w:sz w:val="28"/>
          <w:szCs w:val="28"/>
          <w:u w:val="single"/>
          <w:lang w:eastAsia="zh-TW"/>
        </w:rPr>
        <w:t xml:space="preserve">Oil and gas price volatility further curbs investor interest in the sector, but that could change </w:t>
      </w:r>
      <w:proofErr w:type="gramStart"/>
      <w:r>
        <w:rPr>
          <w:rFonts w:ascii="Times New Roman" w:hAnsi="Times New Roman" w:cs="Times New Roman"/>
          <w:i/>
          <w:iCs/>
          <w:sz w:val="28"/>
          <w:szCs w:val="28"/>
          <w:u w:val="single"/>
          <w:lang w:eastAsia="zh-TW"/>
        </w:rPr>
        <w:t>if and when</w:t>
      </w:r>
      <w:proofErr w:type="gramEnd"/>
      <w:r>
        <w:rPr>
          <w:rFonts w:ascii="Times New Roman" w:hAnsi="Times New Roman" w:cs="Times New Roman"/>
          <w:i/>
          <w:iCs/>
          <w:sz w:val="28"/>
          <w:szCs w:val="28"/>
          <w:u w:val="single"/>
          <w:lang w:eastAsia="zh-TW"/>
        </w:rPr>
        <w:t xml:space="preserve"> the heralded super-cycle dynamics begin to play out.</w:t>
      </w:r>
    </w:p>
    <w:p w14:paraId="1E9189C7" w14:textId="77777777" w:rsidR="006A0EC8" w:rsidRDefault="006A0EC8" w:rsidP="006A0EC8">
      <w:pPr>
        <w:rPr>
          <w:rFonts w:ascii="Times New Roman" w:hAnsi="Times New Roman" w:cs="Times New Roman"/>
          <w:sz w:val="28"/>
          <w:szCs w:val="28"/>
          <w:lang w:eastAsia="zh-TW"/>
        </w:rPr>
      </w:pPr>
    </w:p>
    <w:p w14:paraId="505F6777" w14:textId="77777777" w:rsidR="006A0EC8" w:rsidRDefault="006A0EC8" w:rsidP="006A0EC8">
      <w:pPr>
        <w:ind w:left="720"/>
        <w:rPr>
          <w:rFonts w:ascii="Times New Roman" w:hAnsi="Times New Roman" w:cs="Times New Roman"/>
          <w:sz w:val="28"/>
          <w:szCs w:val="28"/>
          <w:lang w:eastAsia="zh-TW"/>
        </w:rPr>
      </w:pPr>
      <w:r>
        <w:rPr>
          <w:rFonts w:ascii="Times New Roman" w:hAnsi="Times New Roman" w:cs="Times New Roman"/>
          <w:i/>
          <w:iCs/>
          <w:sz w:val="28"/>
          <w:szCs w:val="28"/>
          <w:lang w:eastAsia="zh-TW"/>
        </w:rPr>
        <w:t xml:space="preserve">Investing in Energy is even more challenging because of the political headwinds that are stronger than ever. </w:t>
      </w:r>
      <w:r>
        <w:rPr>
          <w:rFonts w:ascii="Times New Roman" w:hAnsi="Times New Roman" w:cs="Times New Roman"/>
          <w:i/>
          <w:iCs/>
          <w:sz w:val="28"/>
          <w:szCs w:val="28"/>
          <w:u w:val="single"/>
          <w:lang w:eastAsia="zh-TW"/>
        </w:rPr>
        <w:t xml:space="preserve">If Energy company managements maintain the financial </w:t>
      </w:r>
      <w:proofErr w:type="gramStart"/>
      <w:r>
        <w:rPr>
          <w:rFonts w:ascii="Times New Roman" w:hAnsi="Times New Roman" w:cs="Times New Roman"/>
          <w:i/>
          <w:iCs/>
          <w:sz w:val="28"/>
          <w:szCs w:val="28"/>
          <w:u w:val="single"/>
          <w:lang w:eastAsia="zh-TW"/>
        </w:rPr>
        <w:t>discipline</w:t>
      </w:r>
      <w:proofErr w:type="gramEnd"/>
      <w:r>
        <w:rPr>
          <w:rFonts w:ascii="Times New Roman" w:hAnsi="Times New Roman" w:cs="Times New Roman"/>
          <w:i/>
          <w:iCs/>
          <w:sz w:val="28"/>
          <w:szCs w:val="28"/>
          <w:u w:val="single"/>
          <w:lang w:eastAsia="zh-TW"/>
        </w:rPr>
        <w:t xml:space="preserve"> they have exhibited for the past several years, shareholders will be well-rewarded through modest earnings growth, larger share buybacks, and increased cash dividends. This combination may lead to Energy’s performance being better than expected by those portfolio managers who are shunning the stocks. </w:t>
      </w:r>
      <w:r>
        <w:rPr>
          <w:rFonts w:ascii="Times New Roman" w:hAnsi="Times New Roman" w:cs="Times New Roman"/>
          <w:i/>
          <w:iCs/>
          <w:sz w:val="28"/>
          <w:szCs w:val="28"/>
          <w:lang w:eastAsia="zh-TW"/>
        </w:rPr>
        <w:t xml:space="preserve">As their investment performance </w:t>
      </w:r>
      <w:proofErr w:type="gramStart"/>
      <w:r>
        <w:rPr>
          <w:rFonts w:ascii="Times New Roman" w:hAnsi="Times New Roman" w:cs="Times New Roman"/>
          <w:i/>
          <w:iCs/>
          <w:sz w:val="28"/>
          <w:szCs w:val="28"/>
          <w:lang w:eastAsia="zh-TW"/>
        </w:rPr>
        <w:t>lags behind</w:t>
      </w:r>
      <w:proofErr w:type="gramEnd"/>
      <w:r>
        <w:rPr>
          <w:rFonts w:ascii="Times New Roman" w:hAnsi="Times New Roman" w:cs="Times New Roman"/>
          <w:i/>
          <w:iCs/>
          <w:sz w:val="28"/>
          <w:szCs w:val="28"/>
          <w:lang w:eastAsia="zh-TW"/>
        </w:rPr>
        <w:t xml:space="preserve"> those portfolio managers who invest in Energy, they may be </w:t>
      </w:r>
      <w:r>
        <w:rPr>
          <w:rFonts w:ascii="Times New Roman" w:hAnsi="Times New Roman" w:cs="Times New Roman"/>
          <w:i/>
          <w:iCs/>
          <w:sz w:val="28"/>
          <w:szCs w:val="28"/>
          <w:lang w:eastAsia="zh-TW"/>
        </w:rPr>
        <w:lastRenderedPageBreak/>
        <w:t xml:space="preserve">forced by investor demands to reallocate money into Energy. This is not a wish, but rather a possible scenario. </w:t>
      </w:r>
    </w:p>
    <w:p w14:paraId="771127B4" w14:textId="77777777" w:rsidR="006A0EC8" w:rsidRDefault="006A0EC8" w:rsidP="006A0EC8">
      <w:pPr>
        <w:rPr>
          <w:rFonts w:ascii="Arial" w:hAnsi="Arial" w:cs="Arial"/>
          <w:sz w:val="20"/>
          <w:szCs w:val="20"/>
          <w:lang w:eastAsia="zh-TW"/>
        </w:rPr>
      </w:pPr>
    </w:p>
    <w:p w14:paraId="682D1EAC" w14:textId="2D87CEE3" w:rsidR="006A0EC8" w:rsidRDefault="006A0EC8" w:rsidP="006A0EC8">
      <w:pPr>
        <w:rPr>
          <w:rFonts w:ascii="Arial" w:hAnsi="Arial" w:cs="Arial"/>
          <w:sz w:val="20"/>
          <w:szCs w:val="20"/>
          <w:lang w:eastAsia="zh-TW"/>
        </w:rPr>
      </w:pPr>
      <w:r>
        <w:rPr>
          <w:noProof/>
          <w:lang w:eastAsia="zh-TW"/>
        </w:rPr>
        <w:drawing>
          <wp:inline distT="0" distB="0" distL="0" distR="0" wp14:anchorId="52510F3A" wp14:editId="15C7D01E">
            <wp:extent cx="5581650" cy="3552825"/>
            <wp:effectExtent l="0" t="0" r="0" b="9525"/>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581650" cy="3552825"/>
                    </a:xfrm>
                    <a:prstGeom prst="rect">
                      <a:avLst/>
                    </a:prstGeom>
                    <a:noFill/>
                    <a:ln>
                      <a:noFill/>
                    </a:ln>
                  </pic:spPr>
                </pic:pic>
              </a:graphicData>
            </a:graphic>
          </wp:inline>
        </w:drawing>
      </w:r>
    </w:p>
    <w:p w14:paraId="25FE971C" w14:textId="77777777" w:rsidR="006A0EC8" w:rsidRDefault="006A0EC8" w:rsidP="006A0EC8">
      <w:pPr>
        <w:rPr>
          <w:rFonts w:ascii="Arial" w:hAnsi="Arial" w:cs="Arial"/>
          <w:i/>
          <w:iCs/>
          <w:sz w:val="16"/>
          <w:szCs w:val="16"/>
          <w:lang w:eastAsia="zh-TW"/>
        </w:rPr>
      </w:pPr>
      <w:r>
        <w:rPr>
          <w:rFonts w:ascii="Arial" w:hAnsi="Arial" w:cs="Arial"/>
          <w:i/>
          <w:iCs/>
          <w:sz w:val="16"/>
          <w:szCs w:val="16"/>
          <w:lang w:eastAsia="zh-TW"/>
        </w:rPr>
        <w:t>Source: Vanguard, Allen Brooks</w:t>
      </w:r>
    </w:p>
    <w:p w14:paraId="116F1747" w14:textId="77777777" w:rsidR="006A0EC8" w:rsidRDefault="006A0EC8" w:rsidP="006A0EC8">
      <w:pPr>
        <w:rPr>
          <w:rFonts w:ascii="Times New Roman" w:hAnsi="Times New Roman" w:cs="Times New Roman"/>
          <w:sz w:val="28"/>
          <w:szCs w:val="28"/>
          <w:lang w:eastAsia="zh-TW"/>
        </w:rPr>
      </w:pPr>
    </w:p>
    <w:p w14:paraId="4A9545DD" w14:textId="77777777" w:rsidR="006A0EC8" w:rsidRDefault="006A0EC8" w:rsidP="006A0EC8">
      <w:pPr>
        <w:rPr>
          <w:rFonts w:ascii="Times New Roman" w:hAnsi="Times New Roman" w:cs="Times New Roman"/>
          <w:sz w:val="28"/>
          <w:szCs w:val="28"/>
          <w:lang w:eastAsia="zh-TW"/>
        </w:rPr>
      </w:pPr>
    </w:p>
    <w:p w14:paraId="0A15352F" w14:textId="77777777" w:rsidR="006A0EC8" w:rsidRDefault="006A0EC8" w:rsidP="006A0EC8">
      <w:pPr>
        <w:rPr>
          <w:rFonts w:ascii="Times New Roman" w:hAnsi="Times New Roman" w:cs="Times New Roman"/>
          <w:sz w:val="28"/>
          <w:szCs w:val="28"/>
          <w:lang w:eastAsia="zh-TW"/>
        </w:rPr>
      </w:pPr>
    </w:p>
    <w:p w14:paraId="7B66AB9E" w14:textId="77777777" w:rsidR="006A0EC8" w:rsidRDefault="006A0EC8" w:rsidP="006A0EC8">
      <w:pPr>
        <w:rPr>
          <w:rFonts w:ascii="Times New Roman" w:hAnsi="Times New Roman" w:cs="Times New Roman"/>
          <w:sz w:val="28"/>
          <w:szCs w:val="28"/>
          <w:lang w:eastAsia="zh-TW"/>
        </w:rPr>
      </w:pPr>
    </w:p>
    <w:p w14:paraId="2A527620" w14:textId="6AA5F2F6" w:rsidR="006A0EC8" w:rsidRDefault="006A0EC8" w:rsidP="006A0EC8">
      <w:pPr>
        <w:rPr>
          <w:rFonts w:ascii="Times New Roman" w:hAnsi="Times New Roman" w:cs="Times New Roman"/>
          <w:sz w:val="28"/>
          <w:szCs w:val="28"/>
          <w:lang w:eastAsia="zh-TW"/>
        </w:rPr>
      </w:pPr>
      <w:r>
        <w:rPr>
          <w:rFonts w:ascii="Times New Roman" w:hAnsi="Times New Roman" w:cs="Times New Roman"/>
          <w:sz w:val="28"/>
          <w:szCs w:val="28"/>
          <w:lang w:eastAsia="zh-TW"/>
        </w:rPr>
        <w:t xml:space="preserve">The following is recent commentary from </w:t>
      </w:r>
      <w:r>
        <w:rPr>
          <w:rFonts w:ascii="Times New Roman" w:hAnsi="Times New Roman" w:cs="Times New Roman"/>
          <w:b/>
          <w:bCs/>
          <w:sz w:val="28"/>
          <w:szCs w:val="28"/>
          <w:lang w:eastAsia="zh-TW"/>
        </w:rPr>
        <w:t>Goehring &amp; Rozencwajg</w:t>
      </w:r>
      <w:r>
        <w:rPr>
          <w:rFonts w:ascii="Times New Roman" w:hAnsi="Times New Roman" w:cs="Times New Roman"/>
          <w:sz w:val="28"/>
          <w:szCs w:val="28"/>
          <w:lang w:eastAsia="zh-TW"/>
        </w:rPr>
        <w:t>. Risk the Peak Oil thesis as you will, but interestingly recall “Maturing Asset Base” was referenced as a “drag on crude oil and natural gas production growth” by US producers in a recent Dallas Fed Survey.   </w:t>
      </w:r>
    </w:p>
    <w:p w14:paraId="388A7F1E" w14:textId="77777777" w:rsidR="006A0EC8" w:rsidRDefault="006A0EC8" w:rsidP="006A0EC8">
      <w:pPr>
        <w:rPr>
          <w:rFonts w:ascii="Times New Roman" w:hAnsi="Times New Roman" w:cs="Times New Roman"/>
          <w:sz w:val="28"/>
          <w:szCs w:val="28"/>
          <w:lang w:eastAsia="zh-TW"/>
        </w:rPr>
      </w:pPr>
    </w:p>
    <w:p w14:paraId="343B8567" w14:textId="77777777" w:rsidR="006A0EC8" w:rsidRDefault="006A0EC8" w:rsidP="006A0EC8">
      <w:pPr>
        <w:ind w:left="720"/>
        <w:rPr>
          <w:rFonts w:ascii="Times New Roman" w:hAnsi="Times New Roman" w:cs="Times New Roman"/>
          <w:i/>
          <w:iCs/>
          <w:sz w:val="28"/>
          <w:szCs w:val="28"/>
          <w:lang w:eastAsia="zh-TW"/>
        </w:rPr>
      </w:pPr>
      <w:r>
        <w:rPr>
          <w:rFonts w:ascii="Times New Roman" w:hAnsi="Times New Roman" w:cs="Times New Roman"/>
          <w:i/>
          <w:iCs/>
          <w:sz w:val="28"/>
          <w:szCs w:val="28"/>
          <w:lang w:eastAsia="zh-TW"/>
        </w:rPr>
        <w:t xml:space="preserve">While Hubbert’s predictions look ridiculous when considering total US liquids production, focusing only on conventional crude production suggests Peak Oil is alive and well. </w:t>
      </w:r>
      <w:r>
        <w:rPr>
          <w:rFonts w:ascii="Times New Roman" w:hAnsi="Times New Roman" w:cs="Times New Roman"/>
          <w:i/>
          <w:iCs/>
          <w:sz w:val="28"/>
          <w:szCs w:val="28"/>
          <w:u w:val="single"/>
          <w:lang w:eastAsia="zh-TW"/>
        </w:rPr>
        <w:t>Last year, the US produced 3 m b/d of conventional crude oil – 7 m b/d or 70% below the peak reached 52 years ago</w:t>
      </w:r>
      <w:r>
        <w:rPr>
          <w:rFonts w:ascii="Times New Roman" w:hAnsi="Times New Roman" w:cs="Times New Roman"/>
          <w:i/>
          <w:iCs/>
          <w:sz w:val="28"/>
          <w:szCs w:val="28"/>
          <w:lang w:eastAsia="zh-TW"/>
        </w:rPr>
        <w:t>. In other words, the shales bailed out total US production but did nothing to change the forces underpinning Peak Oil and depletion. On a global basis, conventional oil production (total production ex shale and Canadian oil sands) has exhibited no growth in 17 years.</w:t>
      </w:r>
    </w:p>
    <w:p w14:paraId="6A79A2A6" w14:textId="77777777" w:rsidR="006A0EC8" w:rsidRDefault="006A0EC8" w:rsidP="006A0EC8">
      <w:pPr>
        <w:ind w:left="720"/>
        <w:rPr>
          <w:rFonts w:ascii="Times New Roman" w:hAnsi="Times New Roman" w:cs="Times New Roman"/>
          <w:i/>
          <w:iCs/>
          <w:sz w:val="28"/>
          <w:szCs w:val="28"/>
          <w:lang w:eastAsia="zh-TW"/>
        </w:rPr>
      </w:pPr>
    </w:p>
    <w:p w14:paraId="5761992A" w14:textId="77777777" w:rsidR="006A0EC8" w:rsidRDefault="006A0EC8" w:rsidP="006A0EC8">
      <w:pPr>
        <w:ind w:left="720"/>
        <w:rPr>
          <w:rFonts w:ascii="Times New Roman" w:hAnsi="Times New Roman" w:cs="Times New Roman"/>
          <w:i/>
          <w:iCs/>
          <w:sz w:val="28"/>
          <w:szCs w:val="28"/>
          <w:lang w:eastAsia="zh-TW"/>
        </w:rPr>
      </w:pPr>
      <w:r>
        <w:rPr>
          <w:rFonts w:ascii="Times New Roman" w:hAnsi="Times New Roman" w:cs="Times New Roman"/>
          <w:i/>
          <w:iCs/>
          <w:sz w:val="28"/>
          <w:szCs w:val="28"/>
          <w:lang w:eastAsia="zh-TW"/>
        </w:rPr>
        <w:lastRenderedPageBreak/>
        <w:t xml:space="preserve">We agree with critics who argue that Peak Oil neglects the impact of new technologies that improve oil recovery. Shale development itself would fall into this category. </w:t>
      </w:r>
      <w:r>
        <w:rPr>
          <w:rFonts w:ascii="Times New Roman" w:hAnsi="Times New Roman" w:cs="Times New Roman"/>
          <w:i/>
          <w:iCs/>
          <w:sz w:val="28"/>
          <w:szCs w:val="28"/>
          <w:u w:val="single"/>
          <w:lang w:eastAsia="zh-TW"/>
        </w:rPr>
        <w:t>However, it is equally imprudent to implicitly suggest the dramatic shale growth of the 2010s will continue forever and neglect the underlying forces of depletion and Peak Oil entirely</w:t>
      </w:r>
      <w:r>
        <w:rPr>
          <w:rFonts w:ascii="Times New Roman" w:hAnsi="Times New Roman" w:cs="Times New Roman"/>
          <w:i/>
          <w:iCs/>
          <w:sz w:val="28"/>
          <w:szCs w:val="28"/>
          <w:lang w:eastAsia="zh-TW"/>
        </w:rPr>
        <w:t xml:space="preserve">…In the case of Peak Oil, we believe Hubbert’s theories will regain relevance once shale production rolls over and the underlying depletion problems of conventional oil are exposed. Our models tell us that the inflection point may be quickly </w:t>
      </w:r>
      <w:proofErr w:type="gramStart"/>
      <w:r>
        <w:rPr>
          <w:rFonts w:ascii="Times New Roman" w:hAnsi="Times New Roman" w:cs="Times New Roman"/>
          <w:i/>
          <w:iCs/>
          <w:sz w:val="28"/>
          <w:szCs w:val="28"/>
          <w:lang w:eastAsia="zh-TW"/>
        </w:rPr>
        <w:t>approaching</w:t>
      </w:r>
      <w:proofErr w:type="gramEnd"/>
    </w:p>
    <w:p w14:paraId="563DB873" w14:textId="77777777" w:rsidR="006A0EC8" w:rsidRDefault="006A0EC8" w:rsidP="006A0EC8">
      <w:pPr>
        <w:ind w:left="720"/>
        <w:rPr>
          <w:rFonts w:ascii="Times New Roman" w:hAnsi="Times New Roman" w:cs="Times New Roman"/>
          <w:i/>
          <w:iCs/>
          <w:sz w:val="28"/>
          <w:szCs w:val="28"/>
          <w:lang w:eastAsia="zh-TW"/>
        </w:rPr>
      </w:pPr>
    </w:p>
    <w:p w14:paraId="18D9E59A" w14:textId="77777777" w:rsidR="006A0EC8" w:rsidRDefault="006A0EC8" w:rsidP="006A0EC8">
      <w:pPr>
        <w:ind w:left="720"/>
        <w:rPr>
          <w:rFonts w:ascii="Times New Roman" w:hAnsi="Times New Roman" w:cs="Times New Roman"/>
          <w:i/>
          <w:iCs/>
          <w:sz w:val="28"/>
          <w:szCs w:val="28"/>
          <w:lang w:eastAsia="zh-TW"/>
        </w:rPr>
      </w:pPr>
      <w:r>
        <w:rPr>
          <w:rFonts w:ascii="Times New Roman" w:hAnsi="Times New Roman" w:cs="Times New Roman"/>
          <w:i/>
          <w:iCs/>
          <w:sz w:val="28"/>
          <w:szCs w:val="28"/>
          <w:u w:val="single"/>
          <w:lang w:eastAsia="zh-TW"/>
        </w:rPr>
        <w:t>Looking at the Bakken and Eagle Ford, we concluded in 2019 that both fields had likely reached maximum production and would undergo a consistent decline. Our neural network determined that Tier 1 development reached 55% and 50% by late 2019 in the Eagle Ford and Bakken, respectively</w:t>
      </w:r>
      <w:r>
        <w:rPr>
          <w:rFonts w:ascii="Times New Roman" w:hAnsi="Times New Roman" w:cs="Times New Roman"/>
          <w:i/>
          <w:iCs/>
          <w:sz w:val="28"/>
          <w:szCs w:val="28"/>
          <w:lang w:eastAsia="zh-TW"/>
        </w:rPr>
        <w:t xml:space="preserve">. </w:t>
      </w:r>
    </w:p>
    <w:p w14:paraId="7A4A05E8" w14:textId="77777777" w:rsidR="006A0EC8" w:rsidRDefault="006A0EC8" w:rsidP="006A0EC8">
      <w:pPr>
        <w:ind w:left="720"/>
        <w:rPr>
          <w:rFonts w:ascii="Times New Roman" w:hAnsi="Times New Roman" w:cs="Times New Roman"/>
          <w:i/>
          <w:iCs/>
          <w:sz w:val="28"/>
          <w:szCs w:val="28"/>
          <w:lang w:eastAsia="zh-TW"/>
        </w:rPr>
      </w:pPr>
    </w:p>
    <w:p w14:paraId="04D181A2" w14:textId="77777777" w:rsidR="006A0EC8" w:rsidRDefault="006A0EC8" w:rsidP="006A0EC8">
      <w:pPr>
        <w:ind w:left="720"/>
        <w:rPr>
          <w:rFonts w:ascii="Times New Roman" w:hAnsi="Times New Roman" w:cs="Times New Roman"/>
          <w:i/>
          <w:iCs/>
          <w:sz w:val="28"/>
          <w:szCs w:val="28"/>
          <w:lang w:eastAsia="zh-TW"/>
        </w:rPr>
      </w:pPr>
      <w:r>
        <w:rPr>
          <w:rFonts w:ascii="Times New Roman" w:hAnsi="Times New Roman" w:cs="Times New Roman"/>
          <w:i/>
          <w:iCs/>
          <w:sz w:val="28"/>
          <w:szCs w:val="28"/>
          <w:lang w:eastAsia="zh-TW"/>
        </w:rPr>
        <w:t xml:space="preserve">Exactly as we expected, neither Bakken nor </w:t>
      </w:r>
      <w:proofErr w:type="gramStart"/>
      <w:r>
        <w:rPr>
          <w:rFonts w:ascii="Times New Roman" w:hAnsi="Times New Roman" w:cs="Times New Roman"/>
          <w:i/>
          <w:iCs/>
          <w:sz w:val="28"/>
          <w:szCs w:val="28"/>
          <w:lang w:eastAsia="zh-TW"/>
        </w:rPr>
        <w:t>the Eagle</w:t>
      </w:r>
      <w:proofErr w:type="gramEnd"/>
      <w:r>
        <w:rPr>
          <w:rFonts w:ascii="Times New Roman" w:hAnsi="Times New Roman" w:cs="Times New Roman"/>
          <w:i/>
          <w:iCs/>
          <w:sz w:val="28"/>
          <w:szCs w:val="28"/>
          <w:lang w:eastAsia="zh-TW"/>
        </w:rPr>
        <w:t xml:space="preserve"> Ford has been able to grow. Since the end of 2019, combined production from both basins fell by 500,000 b/d. Even an increase in drilling activity has had little impact. </w:t>
      </w:r>
      <w:r>
        <w:rPr>
          <w:rFonts w:ascii="Times New Roman" w:hAnsi="Times New Roman" w:cs="Times New Roman"/>
          <w:i/>
          <w:iCs/>
          <w:sz w:val="28"/>
          <w:szCs w:val="28"/>
          <w:u w:val="single"/>
          <w:lang w:eastAsia="zh-TW"/>
        </w:rPr>
        <w:t>Since the end of 2020, completions in both plays have grown by 50%, yet production over that time has been flat. The explanation is well productivity, which has fallen by 10-20% since making its high in 2019.</w:t>
      </w:r>
    </w:p>
    <w:p w14:paraId="7466CA23" w14:textId="77777777" w:rsidR="006A0EC8" w:rsidRDefault="006A0EC8" w:rsidP="006A0EC8">
      <w:pPr>
        <w:ind w:left="720"/>
        <w:rPr>
          <w:rFonts w:ascii="Times New Roman" w:hAnsi="Times New Roman" w:cs="Times New Roman"/>
          <w:i/>
          <w:iCs/>
          <w:sz w:val="28"/>
          <w:szCs w:val="28"/>
          <w:lang w:eastAsia="zh-TW"/>
        </w:rPr>
      </w:pPr>
    </w:p>
    <w:p w14:paraId="266599F3" w14:textId="77777777" w:rsidR="006A0EC8" w:rsidRDefault="006A0EC8" w:rsidP="006A0EC8">
      <w:pPr>
        <w:ind w:left="720"/>
        <w:rPr>
          <w:rFonts w:ascii="Times New Roman" w:hAnsi="Times New Roman" w:cs="Times New Roman"/>
          <w:i/>
          <w:iCs/>
          <w:sz w:val="28"/>
          <w:szCs w:val="28"/>
          <w:u w:val="single"/>
          <w:lang w:eastAsia="zh-TW"/>
        </w:rPr>
      </w:pPr>
      <w:r>
        <w:rPr>
          <w:rFonts w:ascii="Times New Roman" w:hAnsi="Times New Roman" w:cs="Times New Roman"/>
          <w:i/>
          <w:iCs/>
          <w:sz w:val="28"/>
          <w:szCs w:val="28"/>
          <w:lang w:eastAsia="zh-TW"/>
        </w:rPr>
        <w:t xml:space="preserve">In our 1Q19 letter, we explained how the Permian still </w:t>
      </w:r>
      <w:proofErr w:type="gramStart"/>
      <w:r>
        <w:rPr>
          <w:rFonts w:ascii="Times New Roman" w:hAnsi="Times New Roman" w:cs="Times New Roman"/>
          <w:i/>
          <w:iCs/>
          <w:sz w:val="28"/>
          <w:szCs w:val="28"/>
          <w:lang w:eastAsia="zh-TW"/>
        </w:rPr>
        <w:t>had room</w:t>
      </w:r>
      <w:proofErr w:type="gramEnd"/>
      <w:r>
        <w:rPr>
          <w:rFonts w:ascii="Times New Roman" w:hAnsi="Times New Roman" w:cs="Times New Roman"/>
          <w:i/>
          <w:iCs/>
          <w:sz w:val="28"/>
          <w:szCs w:val="28"/>
          <w:lang w:eastAsia="zh-TW"/>
        </w:rPr>
        <w:t xml:space="preserve"> to grow. </w:t>
      </w:r>
      <w:r>
        <w:rPr>
          <w:rFonts w:ascii="Times New Roman" w:hAnsi="Times New Roman" w:cs="Times New Roman"/>
          <w:i/>
          <w:iCs/>
          <w:sz w:val="28"/>
          <w:szCs w:val="28"/>
          <w:u w:val="single"/>
          <w:lang w:eastAsia="zh-TW"/>
        </w:rPr>
        <w:t>We estimated that Permian production would peak at 6.5 m b/d – 900,000 b/d above current levels. Compared with the Bakken and Eagle Ford at nearly 50% Tier 1 development, we estimated the Permian still had 65% of its Tier 1 wells left to drill. According to our estimates, the Permian would reach maximum production sometime in 2024-2025 and then begin to peak and decline like the other two basins.</w:t>
      </w:r>
    </w:p>
    <w:p w14:paraId="22CFD539" w14:textId="77777777" w:rsidR="006A0EC8" w:rsidRDefault="006A0EC8" w:rsidP="006A0EC8">
      <w:pPr>
        <w:ind w:left="720"/>
        <w:rPr>
          <w:rFonts w:ascii="Times New Roman" w:hAnsi="Times New Roman" w:cs="Times New Roman"/>
          <w:i/>
          <w:iCs/>
          <w:sz w:val="28"/>
          <w:szCs w:val="28"/>
          <w:lang w:eastAsia="zh-TW"/>
        </w:rPr>
      </w:pPr>
    </w:p>
    <w:p w14:paraId="1A33AC4C" w14:textId="77777777" w:rsidR="006A0EC8" w:rsidRDefault="006A0EC8" w:rsidP="006A0EC8">
      <w:pPr>
        <w:ind w:left="720"/>
        <w:rPr>
          <w:rFonts w:ascii="Times New Roman" w:hAnsi="Times New Roman" w:cs="Times New Roman"/>
          <w:i/>
          <w:iCs/>
          <w:sz w:val="28"/>
          <w:szCs w:val="28"/>
          <w:lang w:eastAsia="zh-TW"/>
        </w:rPr>
      </w:pPr>
      <w:r>
        <w:rPr>
          <w:rFonts w:ascii="Times New Roman" w:hAnsi="Times New Roman" w:cs="Times New Roman"/>
          <w:i/>
          <w:iCs/>
          <w:sz w:val="28"/>
          <w:szCs w:val="28"/>
          <w:lang w:eastAsia="zh-TW"/>
        </w:rPr>
        <w:t xml:space="preserve">We estimate that closer to 45% of all Tier 1 Permian locations have been drilled. The Permian is quickly approaching the same level of development as the Bakken and Eagle Ford in 2019. Our models tell us the results will be similar: </w:t>
      </w:r>
      <w:r>
        <w:rPr>
          <w:rFonts w:ascii="Times New Roman" w:hAnsi="Times New Roman" w:cs="Times New Roman"/>
          <w:i/>
          <w:iCs/>
          <w:sz w:val="28"/>
          <w:szCs w:val="28"/>
          <w:u w:val="single"/>
          <w:lang w:eastAsia="zh-TW"/>
        </w:rPr>
        <w:t>Permian production will peak, plateau, and decline much sooner than anyone expects</w:t>
      </w:r>
      <w:r>
        <w:rPr>
          <w:rFonts w:ascii="Times New Roman" w:hAnsi="Times New Roman" w:cs="Times New Roman"/>
          <w:i/>
          <w:iCs/>
          <w:sz w:val="28"/>
          <w:szCs w:val="28"/>
          <w:lang w:eastAsia="zh-TW"/>
        </w:rPr>
        <w:t>. - Goehring &amp; Rozencwajg</w:t>
      </w:r>
    </w:p>
    <w:p w14:paraId="4B65A91D" w14:textId="77777777" w:rsidR="006A0EC8" w:rsidRDefault="006A0EC8" w:rsidP="006A0EC8">
      <w:pPr>
        <w:rPr>
          <w:rFonts w:ascii="Arial" w:hAnsi="Arial" w:cs="Arial"/>
          <w:sz w:val="20"/>
          <w:szCs w:val="20"/>
          <w:lang w:eastAsia="zh-TW"/>
        </w:rPr>
      </w:pPr>
    </w:p>
    <w:p w14:paraId="16159EA5" w14:textId="129D2351" w:rsidR="006A0EC8" w:rsidRDefault="006A0EC8" w:rsidP="006A0EC8">
      <w:pPr>
        <w:rPr>
          <w:rFonts w:ascii="Arial" w:hAnsi="Arial" w:cs="Arial"/>
          <w:sz w:val="20"/>
          <w:szCs w:val="20"/>
          <w:lang w:eastAsia="zh-TW"/>
        </w:rPr>
      </w:pPr>
      <w:r>
        <w:rPr>
          <w:noProof/>
          <w:lang w:eastAsia="zh-TW"/>
        </w:rPr>
        <w:lastRenderedPageBreak/>
        <w:drawing>
          <wp:inline distT="0" distB="0" distL="0" distR="0" wp14:anchorId="30C2D90D" wp14:editId="301AE3AD">
            <wp:extent cx="5600700" cy="2752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600700" cy="2752725"/>
                    </a:xfrm>
                    <a:prstGeom prst="rect">
                      <a:avLst/>
                    </a:prstGeom>
                    <a:noFill/>
                    <a:ln>
                      <a:noFill/>
                    </a:ln>
                  </pic:spPr>
                </pic:pic>
              </a:graphicData>
            </a:graphic>
          </wp:inline>
        </w:drawing>
      </w:r>
    </w:p>
    <w:p w14:paraId="5673E300" w14:textId="77777777" w:rsidR="006A0EC8" w:rsidRDefault="006A0EC8" w:rsidP="006A0EC8">
      <w:pPr>
        <w:rPr>
          <w:rFonts w:ascii="Arial" w:hAnsi="Arial" w:cs="Arial"/>
          <w:i/>
          <w:iCs/>
          <w:sz w:val="16"/>
          <w:szCs w:val="16"/>
          <w:lang w:eastAsia="zh-TW"/>
        </w:rPr>
      </w:pPr>
      <w:r>
        <w:rPr>
          <w:rFonts w:ascii="Arial" w:hAnsi="Arial" w:cs="Arial"/>
          <w:i/>
          <w:iCs/>
          <w:sz w:val="16"/>
          <w:szCs w:val="16"/>
          <w:lang w:eastAsia="zh-TW"/>
        </w:rPr>
        <w:t>Source: Goehring &amp; Rozencwajg</w:t>
      </w:r>
    </w:p>
    <w:p w14:paraId="36D866A5" w14:textId="77777777" w:rsidR="006A0EC8" w:rsidRDefault="006A0EC8" w:rsidP="006A0EC8">
      <w:pPr>
        <w:rPr>
          <w:rFonts w:ascii="Arial" w:hAnsi="Arial" w:cs="Arial"/>
          <w:sz w:val="20"/>
          <w:szCs w:val="20"/>
          <w:lang w:eastAsia="zh-TW"/>
        </w:rPr>
      </w:pPr>
    </w:p>
    <w:p w14:paraId="26E69425" w14:textId="4B3F08DE" w:rsidR="006A0EC8" w:rsidRDefault="006A0EC8" w:rsidP="006A0EC8">
      <w:pPr>
        <w:rPr>
          <w:rFonts w:ascii="Arial" w:hAnsi="Arial" w:cs="Arial"/>
          <w:sz w:val="20"/>
          <w:szCs w:val="20"/>
          <w:lang w:eastAsia="zh-TW"/>
        </w:rPr>
      </w:pPr>
      <w:r>
        <w:rPr>
          <w:noProof/>
          <w:lang w:eastAsia="zh-TW"/>
        </w:rPr>
        <w:drawing>
          <wp:inline distT="0" distB="0" distL="0" distR="0" wp14:anchorId="3E0D9679" wp14:editId="73317414">
            <wp:extent cx="5838825" cy="2828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2828925"/>
                    </a:xfrm>
                    <a:prstGeom prst="rect">
                      <a:avLst/>
                    </a:prstGeom>
                    <a:noFill/>
                    <a:ln>
                      <a:noFill/>
                    </a:ln>
                  </pic:spPr>
                </pic:pic>
              </a:graphicData>
            </a:graphic>
          </wp:inline>
        </w:drawing>
      </w:r>
    </w:p>
    <w:p w14:paraId="76CE1EDD" w14:textId="77777777" w:rsidR="006A0EC8" w:rsidRDefault="006A0EC8" w:rsidP="006A0EC8">
      <w:pPr>
        <w:rPr>
          <w:rFonts w:ascii="Arial" w:hAnsi="Arial" w:cs="Arial"/>
          <w:i/>
          <w:iCs/>
          <w:sz w:val="16"/>
          <w:szCs w:val="16"/>
          <w:lang w:eastAsia="zh-TW"/>
        </w:rPr>
      </w:pPr>
      <w:r>
        <w:rPr>
          <w:rFonts w:ascii="Arial" w:hAnsi="Arial" w:cs="Arial"/>
          <w:i/>
          <w:iCs/>
          <w:sz w:val="16"/>
          <w:szCs w:val="16"/>
          <w:lang w:eastAsia="zh-TW"/>
        </w:rPr>
        <w:t>Source: Goehring &amp; Rozencwajg</w:t>
      </w:r>
    </w:p>
    <w:p w14:paraId="10862488" w14:textId="77777777" w:rsidR="007F0642" w:rsidRDefault="007F0642"/>
    <w:sectPr w:rsidR="007F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C8"/>
    <w:rsid w:val="006A0EC8"/>
    <w:rsid w:val="007F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B004"/>
  <w15:chartTrackingRefBased/>
  <w15:docId w15:val="{A3B40465-7EC9-4083-BB1C-B3D457C3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7851">
      <w:bodyDiv w:val="1"/>
      <w:marLeft w:val="0"/>
      <w:marRight w:val="0"/>
      <w:marTop w:val="0"/>
      <w:marBottom w:val="0"/>
      <w:divBdr>
        <w:top w:val="none" w:sz="0" w:space="0" w:color="auto"/>
        <w:left w:val="none" w:sz="0" w:space="0" w:color="auto"/>
        <w:bottom w:val="none" w:sz="0" w:space="0" w:color="auto"/>
        <w:right w:val="none" w:sz="0" w:space="0" w:color="auto"/>
      </w:divBdr>
    </w:div>
    <w:div w:id="1555117764">
      <w:bodyDiv w:val="1"/>
      <w:marLeft w:val="0"/>
      <w:marRight w:val="0"/>
      <w:marTop w:val="0"/>
      <w:marBottom w:val="0"/>
      <w:divBdr>
        <w:top w:val="none" w:sz="0" w:space="0" w:color="auto"/>
        <w:left w:val="none" w:sz="0" w:space="0" w:color="auto"/>
        <w:bottom w:val="none" w:sz="0" w:space="0" w:color="auto"/>
        <w:right w:val="none" w:sz="0" w:space="0" w:color="auto"/>
      </w:divBdr>
    </w:div>
    <w:div w:id="19336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cid:image004.png@01D94FF4.6061B1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cid:image009.png@01D950BD.68562F6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cid:image005.png@01D94FF4.6061B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2023-03-08T15:52:00Z</dcterms:created>
  <dcterms:modified xsi:type="dcterms:W3CDTF">2023-03-08T15:58:00Z</dcterms:modified>
</cp:coreProperties>
</file>